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Co-production:</w:t>
      </w:r>
    </w:p>
    <w:p w:rsidR="00000000" w:rsidDel="00000000" w:rsidP="00000000" w:rsidRDefault="00000000" w:rsidRPr="00000000" w14:paraId="00000002">
      <w:pPr>
        <w:rPr/>
      </w:pPr>
      <w:r w:rsidDel="00000000" w:rsidR="00000000" w:rsidRPr="00000000">
        <w:rPr>
          <w:rtl w:val="0"/>
        </w:rPr>
        <w:t xml:space="preserve">Le Reflet, Vevey</w:t>
      </w:r>
    </w:p>
    <w:p w:rsidR="00000000" w:rsidDel="00000000" w:rsidP="00000000" w:rsidRDefault="00000000" w:rsidRPr="00000000" w14:paraId="00000003">
      <w:pPr>
        <w:rPr/>
      </w:pPr>
      <w:r w:rsidDel="00000000" w:rsidR="00000000" w:rsidRPr="00000000">
        <w:rPr>
          <w:rtl w:val="0"/>
        </w:rPr>
        <w:t xml:space="preserve">Théâtre de Grand-Champs, Gland</w:t>
      </w:r>
    </w:p>
    <w:p w:rsidR="00000000" w:rsidDel="00000000" w:rsidP="00000000" w:rsidRDefault="00000000" w:rsidRPr="00000000" w14:paraId="00000004">
      <w:pPr>
        <w:rPr/>
      </w:pPr>
      <w:r w:rsidDel="00000000" w:rsidR="00000000" w:rsidRPr="00000000">
        <w:rPr>
          <w:rtl w:val="0"/>
        </w:rPr>
        <w:t xml:space="preserve">Le Spot, Sion</w:t>
      </w:r>
    </w:p>
    <w:p w:rsidR="00000000" w:rsidDel="00000000" w:rsidP="00000000" w:rsidRDefault="00000000" w:rsidRPr="00000000" w14:paraId="00000005">
      <w:pPr>
        <w:rPr/>
      </w:pPr>
      <w:r w:rsidDel="00000000" w:rsidR="00000000" w:rsidRPr="00000000">
        <w:rPr>
          <w:rtl w:val="0"/>
        </w:rPr>
        <w:t xml:space="preserve">CCHAR, La Chaux-de-Fonds</w:t>
      </w:r>
    </w:p>
    <w:p w:rsidR="00000000" w:rsidDel="00000000" w:rsidP="00000000" w:rsidRDefault="00000000" w:rsidRPr="00000000" w14:paraId="00000006">
      <w:pPr>
        <w:rPr/>
      </w:pPr>
      <w:r w:rsidDel="00000000" w:rsidR="00000000" w:rsidRPr="00000000">
        <w:rPr>
          <w:rtl w:val="0"/>
        </w:rPr>
        <w:t xml:space="preserve">Théâtre ABC, La Chaux-de-Fonds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bCs w:val="1"/>
        </w:rPr>
      </w:pPr>
      <w:r w:rsidDel="00000000" w:rsidR="00000000" w:rsidRPr="00000000">
        <w:rPr>
          <w:b w:val="1"/>
          <w:bCs w:val="1"/>
          <w:rtl w:val="0"/>
        </w:rPr>
        <w:t xml:space="preserve">Soutiens:</w:t>
      </w:r>
    </w:p>
    <w:p w:rsidR="00000000" w:rsidDel="00000000" w:rsidP="00000000" w:rsidRDefault="00000000" w:rsidRPr="00000000" w14:paraId="00000009">
      <w:pPr>
        <w:rPr/>
      </w:pPr>
      <w:r w:rsidDel="00000000" w:rsidR="00000000" w:rsidRPr="00000000">
        <w:rPr>
          <w:rtl w:val="0"/>
        </w:rPr>
        <w:t xml:space="preserve">Ville de </w:t>
      </w:r>
      <w:r w:rsidDel="00000000" w:rsidR="00000000" w:rsidRPr="00000000">
        <w:rPr>
          <w:highlight w:val="white"/>
          <w:rtl w:val="0"/>
        </w:rPr>
        <w:t xml:space="preserve">Ville de Morges, Canton de Vaud, Fonds culturel de la Société Suisse des Auteurs (SSA) et la Fédération des Arts de la Rue Suisses (FARS), Loterie Romande, Fondation Ernst Goehner, Fondation Michalski</w:t>
      </w: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